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0C9" w14:textId="77777777" w:rsidR="002144EC" w:rsidRPr="00E51024" w:rsidRDefault="002144EC" w:rsidP="002144EC">
      <w:pPr>
        <w:jc w:val="right"/>
        <w:rPr>
          <w:rFonts w:ascii="Calibri" w:hAnsi="Calibri" w:cs="Calibri"/>
          <w:lang w:val="en-GB"/>
        </w:rPr>
      </w:pPr>
      <w:r w:rsidRPr="00E51024">
        <w:rPr>
          <w:rFonts w:ascii="Calibri" w:hAnsi="Calibri" w:cs="Calibri"/>
          <w:lang w:val="en-GB"/>
        </w:rPr>
        <w:t xml:space="preserve">7 January </w:t>
      </w:r>
      <w:r w:rsidRPr="002144EC">
        <w:rPr>
          <w:rFonts w:ascii="Calibri" w:hAnsi="Calibri" w:cs="Calibri"/>
          <w:lang w:val="en-GB"/>
        </w:rPr>
        <w:t>2026</w:t>
      </w:r>
    </w:p>
    <w:p w14:paraId="45769A8B" w14:textId="77777777" w:rsidR="002144EC" w:rsidRPr="003C6811" w:rsidRDefault="002144EC" w:rsidP="002144EC">
      <w:pPr>
        <w:jc w:val="both"/>
        <w:rPr>
          <w:rFonts w:ascii="Calibri" w:hAnsi="Calibri" w:cs="Calibri"/>
          <w:b/>
          <w:bCs/>
          <w:lang w:val="en-GB"/>
        </w:rPr>
      </w:pPr>
      <w:r w:rsidRPr="003C6811">
        <w:rPr>
          <w:rFonts w:ascii="Calibri" w:hAnsi="Calibri" w:cs="Calibri"/>
          <w:b/>
          <w:bCs/>
          <w:lang w:val="en-GB"/>
        </w:rPr>
        <w:t>Statement and proposed amendment on the draft delegated act to</w:t>
      </w:r>
      <w:r w:rsidRPr="003C6811">
        <w:rPr>
          <w:rFonts w:ascii="Calibri" w:hAnsi="Calibri" w:cs="Calibri"/>
          <w:lang w:val="en-GB"/>
        </w:rPr>
        <w:t xml:space="preserve"> </w:t>
      </w:r>
      <w:r w:rsidRPr="003C6811">
        <w:rPr>
          <w:rFonts w:ascii="Calibri" w:hAnsi="Calibri" w:cs="Calibri"/>
          <w:b/>
          <w:bCs/>
          <w:lang w:val="en-GB"/>
        </w:rPr>
        <w:t>establish exemptions from the PPWR’s reuse obligations for wrappings and straps.</w:t>
      </w:r>
    </w:p>
    <w:p w14:paraId="72139312" w14:textId="2F1830F3" w:rsidR="002144EC" w:rsidRPr="003C6811" w:rsidRDefault="002144EC" w:rsidP="002144EC">
      <w:pPr>
        <w:jc w:val="both"/>
        <w:rPr>
          <w:rFonts w:ascii="Calibri" w:hAnsi="Calibri" w:cs="Calibri"/>
          <w:lang w:val="en-GB"/>
        </w:rPr>
      </w:pPr>
      <w:r w:rsidRPr="003C6811">
        <w:rPr>
          <w:rFonts w:ascii="Calibri" w:hAnsi="Calibri" w:cs="Calibri"/>
          <w:lang w:val="en-GB"/>
        </w:rPr>
        <w:t>CITPA supports the 100% exemption from the PPWR’s reuse obligations for wrappings and straps for all materials, and proposes the following amendment:</w:t>
      </w:r>
    </w:p>
    <w:tbl>
      <w:tblPr>
        <w:tblStyle w:val="TableGrid"/>
        <w:tblW w:w="0" w:type="auto"/>
        <w:tblBorders>
          <w:top w:val="single" w:sz="12" w:space="0" w:color="000099"/>
          <w:left w:val="single" w:sz="12" w:space="0" w:color="000099"/>
          <w:bottom w:val="single" w:sz="12" w:space="0" w:color="000099"/>
          <w:right w:val="single" w:sz="12" w:space="0" w:color="000099"/>
          <w:insideH w:val="single" w:sz="12" w:space="0" w:color="000099"/>
          <w:insideV w:val="single" w:sz="12" w:space="0" w:color="000099"/>
        </w:tblBorders>
        <w:tblLook w:val="04A0" w:firstRow="1" w:lastRow="0" w:firstColumn="1" w:lastColumn="0" w:noHBand="0" w:noVBand="1"/>
      </w:tblPr>
      <w:tblGrid>
        <w:gridCol w:w="4277"/>
        <w:gridCol w:w="4278"/>
      </w:tblGrid>
      <w:tr w:rsidR="002144EC" w:rsidRPr="003C6811" w14:paraId="4CF3F956" w14:textId="77777777" w:rsidTr="003C6811">
        <w:tc>
          <w:tcPr>
            <w:tcW w:w="4508" w:type="dxa"/>
          </w:tcPr>
          <w:p w14:paraId="73FE0BCD" w14:textId="77777777" w:rsidR="002144EC" w:rsidRPr="003C6811" w:rsidRDefault="002144EC" w:rsidP="00B53911">
            <w:pPr>
              <w:jc w:val="both"/>
              <w:rPr>
                <w:rFonts w:ascii="Calibri" w:hAnsi="Calibri" w:cs="Calibri"/>
                <w:lang w:val="fr-BE"/>
              </w:rPr>
            </w:pPr>
            <w:r w:rsidRPr="003C6811">
              <w:rPr>
                <w:rFonts w:ascii="Calibri" w:hAnsi="Calibri" w:cs="Calibri"/>
                <w:b/>
                <w:bCs/>
                <w:lang w:val="fr-BE"/>
              </w:rPr>
              <w:t xml:space="preserve">Commission </w:t>
            </w:r>
            <w:proofErr w:type="spellStart"/>
            <w:r w:rsidRPr="003C6811">
              <w:rPr>
                <w:rFonts w:ascii="Calibri" w:hAnsi="Calibri" w:cs="Calibri"/>
                <w:b/>
                <w:bCs/>
                <w:lang w:val="fr-BE"/>
              </w:rPr>
              <w:t>proposal</w:t>
            </w:r>
            <w:proofErr w:type="spellEnd"/>
          </w:p>
        </w:tc>
        <w:tc>
          <w:tcPr>
            <w:tcW w:w="4508" w:type="dxa"/>
          </w:tcPr>
          <w:p w14:paraId="7417B7D2" w14:textId="7B9F67A8" w:rsidR="002144EC" w:rsidRPr="003C6811" w:rsidRDefault="002144EC" w:rsidP="00B53911">
            <w:pPr>
              <w:jc w:val="both"/>
              <w:rPr>
                <w:rFonts w:ascii="Calibri" w:hAnsi="Calibri" w:cs="Calibri"/>
                <w:lang w:val="fr-BE"/>
              </w:rPr>
            </w:pPr>
            <w:r w:rsidRPr="003C6811">
              <w:rPr>
                <w:rFonts w:ascii="Calibri" w:hAnsi="Calibri" w:cs="Calibri"/>
                <w:b/>
                <w:bCs/>
                <w:lang w:val="fr-BE"/>
              </w:rPr>
              <w:t>CITPA amendement</w:t>
            </w:r>
          </w:p>
        </w:tc>
      </w:tr>
      <w:tr w:rsidR="002144EC" w:rsidRPr="003C6811" w14:paraId="157F4CAF" w14:textId="77777777" w:rsidTr="003C6811">
        <w:tc>
          <w:tcPr>
            <w:tcW w:w="4508" w:type="dxa"/>
          </w:tcPr>
          <w:p w14:paraId="46B1306F" w14:textId="77777777" w:rsidR="002144EC" w:rsidRPr="003C6811" w:rsidRDefault="002144EC" w:rsidP="00B53911">
            <w:pPr>
              <w:jc w:val="both"/>
              <w:rPr>
                <w:rFonts w:ascii="Calibri" w:hAnsi="Calibri" w:cs="Calibri"/>
                <w:lang w:val="en-GB"/>
              </w:rPr>
            </w:pPr>
            <w:r w:rsidRPr="003C6811">
              <w:rPr>
                <w:rFonts w:ascii="Calibri" w:hAnsi="Calibri" w:cs="Calibri"/>
                <w:lang w:val="en-US"/>
              </w:rPr>
              <w:t xml:space="preserve">Article 1 </w:t>
            </w:r>
          </w:p>
          <w:p w14:paraId="169BE426" w14:textId="77777777" w:rsidR="002144EC" w:rsidRPr="003C6811" w:rsidRDefault="002144EC" w:rsidP="00B53911">
            <w:pPr>
              <w:jc w:val="both"/>
              <w:rPr>
                <w:rFonts w:ascii="Calibri" w:hAnsi="Calibri" w:cs="Calibri"/>
                <w:lang w:val="en-GB"/>
              </w:rPr>
            </w:pPr>
            <w:r w:rsidRPr="003C6811">
              <w:rPr>
                <w:rFonts w:ascii="Calibri" w:hAnsi="Calibri" w:cs="Calibri"/>
                <w:lang w:val="en-US"/>
              </w:rPr>
              <w:t xml:space="preserve">Economic operators that use pallet wrappings or straps for </w:t>
            </w:r>
            <w:proofErr w:type="spellStart"/>
            <w:r w:rsidRPr="003C6811">
              <w:rPr>
                <w:rFonts w:ascii="Calibri" w:hAnsi="Calibri" w:cs="Calibri"/>
                <w:lang w:val="en-US"/>
              </w:rPr>
              <w:t>stabilisation</w:t>
            </w:r>
            <w:proofErr w:type="spellEnd"/>
            <w:r w:rsidRPr="003C6811">
              <w:rPr>
                <w:rFonts w:ascii="Calibri" w:hAnsi="Calibri" w:cs="Calibri"/>
                <w:lang w:val="en-US"/>
              </w:rPr>
              <w:t xml:space="preserve"> and protection of products put on pallets during transport are exempted from the 100% reuse requirements of these packaging formats established in Article 29(2) and (3) of Regulation (EU) 2025/40. </w:t>
            </w:r>
          </w:p>
          <w:p w14:paraId="758C46C4" w14:textId="77777777" w:rsidR="002144EC" w:rsidRPr="003C6811" w:rsidRDefault="002144EC" w:rsidP="00B53911">
            <w:pPr>
              <w:jc w:val="both"/>
              <w:rPr>
                <w:rFonts w:ascii="Calibri" w:hAnsi="Calibri" w:cs="Calibri"/>
                <w:lang w:val="en-GB"/>
              </w:rPr>
            </w:pPr>
          </w:p>
        </w:tc>
        <w:tc>
          <w:tcPr>
            <w:tcW w:w="4508" w:type="dxa"/>
          </w:tcPr>
          <w:p w14:paraId="2183B98D" w14:textId="77777777" w:rsidR="002144EC" w:rsidRPr="003C6811" w:rsidRDefault="002144EC" w:rsidP="00B53911">
            <w:pPr>
              <w:jc w:val="both"/>
              <w:rPr>
                <w:rFonts w:ascii="Calibri" w:hAnsi="Calibri" w:cs="Calibri"/>
                <w:lang w:val="en-GB"/>
              </w:rPr>
            </w:pPr>
            <w:r w:rsidRPr="003C6811">
              <w:rPr>
                <w:rFonts w:ascii="Calibri" w:hAnsi="Calibri" w:cs="Calibri"/>
                <w:i/>
                <w:iCs/>
                <w:lang w:val="en-US"/>
              </w:rPr>
              <w:t xml:space="preserve">Article 1 </w:t>
            </w:r>
          </w:p>
          <w:p w14:paraId="557222E0" w14:textId="77777777" w:rsidR="002144EC" w:rsidRPr="003C6811" w:rsidRDefault="002144EC" w:rsidP="00B53911">
            <w:pPr>
              <w:jc w:val="both"/>
              <w:rPr>
                <w:rFonts w:ascii="Calibri" w:hAnsi="Calibri" w:cs="Calibri"/>
                <w:lang w:val="en-GB"/>
              </w:rPr>
            </w:pPr>
            <w:r w:rsidRPr="003C6811">
              <w:rPr>
                <w:rFonts w:ascii="Calibri" w:hAnsi="Calibri" w:cs="Calibri"/>
                <w:i/>
                <w:iCs/>
                <w:lang w:val="en-US"/>
              </w:rPr>
              <w:t xml:space="preserve">“Exemption concerning pallet wrappings and straps Economic operators that use pallet wrappings or straps for </w:t>
            </w:r>
            <w:proofErr w:type="spellStart"/>
            <w:r w:rsidRPr="003C6811">
              <w:rPr>
                <w:rFonts w:ascii="Calibri" w:hAnsi="Calibri" w:cs="Calibri"/>
                <w:i/>
                <w:iCs/>
                <w:lang w:val="en-US"/>
              </w:rPr>
              <w:t>stabilisation</w:t>
            </w:r>
            <w:proofErr w:type="spellEnd"/>
            <w:r w:rsidRPr="003C6811">
              <w:rPr>
                <w:rFonts w:ascii="Calibri" w:hAnsi="Calibri" w:cs="Calibri"/>
                <w:i/>
                <w:iCs/>
                <w:lang w:val="en-US"/>
              </w:rPr>
              <w:t xml:space="preserve"> and protection of products, put on pallets during transport are exempted from the </w:t>
            </w:r>
            <w:r w:rsidRPr="003C6811">
              <w:rPr>
                <w:rFonts w:ascii="Calibri" w:hAnsi="Calibri" w:cs="Calibri"/>
                <w:b/>
                <w:bCs/>
                <w:i/>
                <w:iCs/>
                <w:strike/>
                <w:lang w:val="en-US"/>
              </w:rPr>
              <w:t>100%</w:t>
            </w:r>
            <w:r w:rsidRPr="003C6811">
              <w:rPr>
                <w:rFonts w:ascii="Calibri" w:hAnsi="Calibri" w:cs="Calibri"/>
                <w:i/>
                <w:iCs/>
                <w:lang w:val="en-US"/>
              </w:rPr>
              <w:t xml:space="preserve"> reuse requirements of these packaging formats established in Article 29</w:t>
            </w:r>
            <w:r w:rsidRPr="003C6811">
              <w:rPr>
                <w:rFonts w:ascii="Calibri" w:hAnsi="Calibri" w:cs="Calibri"/>
                <w:b/>
                <w:bCs/>
                <w:i/>
                <w:iCs/>
                <w:lang w:val="en-US"/>
              </w:rPr>
              <w:t xml:space="preserve">(1), </w:t>
            </w:r>
            <w:r w:rsidRPr="003C6811">
              <w:rPr>
                <w:rFonts w:ascii="Calibri" w:hAnsi="Calibri" w:cs="Calibri"/>
                <w:i/>
                <w:iCs/>
                <w:lang w:val="en-US"/>
              </w:rPr>
              <w:t xml:space="preserve">(2) and (3) of Regulation (EU) 2025/40”. </w:t>
            </w:r>
          </w:p>
          <w:p w14:paraId="16B0BE40" w14:textId="77777777" w:rsidR="002144EC" w:rsidRPr="003C6811" w:rsidRDefault="002144EC" w:rsidP="00B53911">
            <w:pPr>
              <w:jc w:val="both"/>
              <w:rPr>
                <w:rFonts w:ascii="Calibri" w:hAnsi="Calibri" w:cs="Calibri"/>
                <w:lang w:val="en-GB"/>
              </w:rPr>
            </w:pPr>
          </w:p>
        </w:tc>
      </w:tr>
    </w:tbl>
    <w:p w14:paraId="4FAD883A" w14:textId="77777777" w:rsidR="002144EC" w:rsidRPr="003C6811" w:rsidRDefault="002144EC" w:rsidP="002144EC">
      <w:pPr>
        <w:jc w:val="both"/>
        <w:rPr>
          <w:rFonts w:ascii="Calibri" w:hAnsi="Calibri" w:cs="Calibri"/>
          <w:u w:val="single"/>
          <w:lang w:val="en-GB"/>
        </w:rPr>
      </w:pPr>
    </w:p>
    <w:p w14:paraId="4F4FEAD1" w14:textId="77777777" w:rsidR="002144EC" w:rsidRPr="003C6811" w:rsidRDefault="002144EC" w:rsidP="002144EC">
      <w:pPr>
        <w:jc w:val="both"/>
        <w:rPr>
          <w:rFonts w:ascii="Calibri" w:hAnsi="Calibri" w:cs="Calibri"/>
          <w:u w:val="single"/>
          <w:lang w:val="en-GB"/>
        </w:rPr>
      </w:pPr>
      <w:proofErr w:type="gramStart"/>
      <w:r w:rsidRPr="003C6811">
        <w:rPr>
          <w:rFonts w:ascii="Calibri" w:hAnsi="Calibri" w:cs="Calibri"/>
          <w:u w:val="single"/>
          <w:lang w:val="en-GB"/>
        </w:rPr>
        <w:t>Justification :</w:t>
      </w:r>
      <w:proofErr w:type="gramEnd"/>
      <w:r w:rsidRPr="003C6811">
        <w:rPr>
          <w:rFonts w:ascii="Calibri" w:hAnsi="Calibri" w:cs="Calibri"/>
          <w:u w:val="single"/>
          <w:lang w:val="en-GB"/>
        </w:rPr>
        <w:t xml:space="preserve"> </w:t>
      </w:r>
    </w:p>
    <w:p w14:paraId="47F03449" w14:textId="77777777" w:rsidR="002144EC" w:rsidRPr="003C6811" w:rsidRDefault="002144EC" w:rsidP="002144EC">
      <w:pPr>
        <w:jc w:val="both"/>
        <w:rPr>
          <w:rFonts w:ascii="Calibri" w:hAnsi="Calibri" w:cs="Calibri"/>
          <w:lang w:val="en-GB"/>
        </w:rPr>
      </w:pPr>
      <w:r w:rsidRPr="003C6811">
        <w:rPr>
          <w:rFonts w:ascii="Calibri" w:hAnsi="Calibri" w:cs="Calibri"/>
          <w:b/>
          <w:bCs/>
          <w:i/>
          <w:iCs/>
          <w:lang w:val="en-GB"/>
        </w:rPr>
        <w:t>Reuse targets on wrappings and straps are economically and technically unfeasible. </w:t>
      </w:r>
    </w:p>
    <w:p w14:paraId="65129E9F" w14:textId="77777777" w:rsidR="002144EC" w:rsidRPr="003C6811" w:rsidRDefault="002144EC" w:rsidP="002144EC">
      <w:pPr>
        <w:pStyle w:val="NormalWeb"/>
        <w:jc w:val="both"/>
        <w:rPr>
          <w:rFonts w:ascii="Calibri" w:hAnsi="Calibri" w:cs="Calibri"/>
          <w:sz w:val="22"/>
          <w:szCs w:val="22"/>
          <w:lang w:val="en-GB"/>
        </w:rPr>
      </w:pPr>
      <w:r w:rsidRPr="003C6811">
        <w:rPr>
          <w:rFonts w:ascii="Calibri" w:hAnsi="Calibri" w:cs="Calibri"/>
          <w:sz w:val="22"/>
          <w:szCs w:val="22"/>
          <w:lang w:val="en-GB"/>
        </w:rPr>
        <w:t>No</w:t>
      </w:r>
      <w:r w:rsidRPr="003C6811">
        <w:rPr>
          <w:rFonts w:ascii="Calibri" w:hAnsi="Calibri" w:cs="Calibri"/>
          <w:sz w:val="22"/>
          <w:szCs w:val="22"/>
        </w:rPr>
        <w:t xml:space="preserve"> adequate reusable systems currently exist</w:t>
      </w:r>
      <w:r w:rsidRPr="003C6811">
        <w:rPr>
          <w:rFonts w:ascii="Calibri" w:hAnsi="Calibri" w:cs="Calibri"/>
          <w:sz w:val="22"/>
          <w:szCs w:val="22"/>
          <w:lang w:val="en-GB"/>
        </w:rPr>
        <w:t>,</w:t>
      </w:r>
      <w:r w:rsidRPr="003C6811">
        <w:rPr>
          <w:rFonts w:ascii="Calibri" w:hAnsi="Calibri" w:cs="Calibri"/>
          <w:sz w:val="22"/>
          <w:szCs w:val="22"/>
        </w:rPr>
        <w:t xml:space="preserve"> as confirmed by the Deloitte study</w:t>
      </w:r>
      <w:r w:rsidRPr="003C6811">
        <w:rPr>
          <w:rFonts w:ascii="Calibri" w:hAnsi="Calibri" w:cs="Calibri"/>
          <w:sz w:val="22"/>
          <w:szCs w:val="22"/>
          <w:lang w:val="en-GB"/>
        </w:rPr>
        <w:t xml:space="preserve"> and r</w:t>
      </w:r>
      <w:proofErr w:type="spellStart"/>
      <w:r w:rsidRPr="003C6811">
        <w:rPr>
          <w:rFonts w:ascii="Calibri" w:hAnsi="Calibri" w:cs="Calibri"/>
          <w:sz w:val="22"/>
          <w:szCs w:val="22"/>
        </w:rPr>
        <w:t>eturn</w:t>
      </w:r>
      <w:proofErr w:type="spellEnd"/>
      <w:r w:rsidRPr="003C6811">
        <w:rPr>
          <w:rFonts w:ascii="Calibri" w:hAnsi="Calibri" w:cs="Calibri"/>
          <w:sz w:val="22"/>
          <w:szCs w:val="22"/>
        </w:rPr>
        <w:t xml:space="preserve"> logistics and infrastructure for reusable packaging are absent. In addition, automated solutions for reusable packaging are not sufficiently developed yet.</w:t>
      </w:r>
      <w:r w:rsidRPr="003C6811">
        <w:rPr>
          <w:rFonts w:ascii="Cera Pro" w:hAnsi="Cera Pro"/>
          <w:color w:val="000000"/>
          <w:sz w:val="22"/>
          <w:szCs w:val="22"/>
        </w:rPr>
        <w:t xml:space="preserve"> </w:t>
      </w:r>
      <w:r w:rsidRPr="003C6811">
        <w:rPr>
          <w:rFonts w:ascii="Calibri" w:hAnsi="Calibri" w:cs="Calibri"/>
          <w:sz w:val="22"/>
          <w:szCs w:val="22"/>
        </w:rPr>
        <w:t>Granting a full exemption for pallet wrappings and straps is the most sensible and practical solution. This measure ensures the protection of products, upholds hygiene standards, and supports worker safety, all while preserving the cost efficiency of supply chains throughout Europe. Such an exemption is consistent with the main objectives of the PPWR and avoids placing un</w:t>
      </w:r>
      <w:r w:rsidRPr="003C6811">
        <w:rPr>
          <w:rFonts w:ascii="Calibri" w:hAnsi="Calibri" w:cs="Calibri"/>
          <w:sz w:val="22"/>
          <w:szCs w:val="22"/>
          <w:lang w:val="en-GB"/>
        </w:rPr>
        <w:t>necessary burdens</w:t>
      </w:r>
      <w:r w:rsidRPr="003C6811">
        <w:rPr>
          <w:rFonts w:ascii="Calibri" w:hAnsi="Calibri" w:cs="Calibri"/>
          <w:sz w:val="22"/>
          <w:szCs w:val="22"/>
        </w:rPr>
        <w:t xml:space="preserve"> on economic operators.</w:t>
      </w:r>
    </w:p>
    <w:p w14:paraId="524B0051" w14:textId="288060B3" w:rsidR="002144EC" w:rsidRPr="003C6811" w:rsidRDefault="002144EC" w:rsidP="002144EC">
      <w:pPr>
        <w:jc w:val="both"/>
        <w:rPr>
          <w:rFonts w:ascii="Calibri" w:hAnsi="Calibri" w:cs="Calibri"/>
          <w:lang w:val="en-GB"/>
        </w:rPr>
      </w:pPr>
      <w:r w:rsidRPr="003C6811">
        <w:rPr>
          <w:rFonts w:ascii="Calibri" w:hAnsi="Calibri" w:cs="Calibri"/>
          <w:lang w:val="en-GB"/>
        </w:rPr>
        <w:t>CITPA members, use wrapping and straps to ship their products and the reuse targets on those would create unnecessary costs and ergonomic risks. Within the food supply chain, maintaining hygiene standards makes the reuse of wrappings and straps even more challenging considering that the process of cleaning demands significant resources and expense, and the materials often degrade quickly, leading to disposal and increased waste generation.</w:t>
      </w:r>
    </w:p>
    <w:p w14:paraId="22580DD3" w14:textId="77777777" w:rsidR="002144EC" w:rsidRPr="003C6811" w:rsidRDefault="002144EC" w:rsidP="002144EC">
      <w:pPr>
        <w:jc w:val="both"/>
        <w:rPr>
          <w:rFonts w:ascii="Calibri" w:hAnsi="Calibri" w:cs="Calibri"/>
          <w:lang w:val="en-GB"/>
        </w:rPr>
      </w:pPr>
      <w:r w:rsidRPr="003C6811">
        <w:rPr>
          <w:rFonts w:ascii="Calibri" w:hAnsi="Calibri" w:cs="Calibri"/>
          <w:lang w:val="en-GB"/>
        </w:rPr>
        <w:t xml:space="preserve">Furthermore, limiting exemptions to intra-Member State transport disadvantage export-driven industries in countries that are export intensive.  For many EU countries, export is essential to their commercial activities. By limiting the exemptions for transport only within the same Member State penalises those countries, in a disproportionate way. They will face inability to comply with the provisions thus undermining competitiveness and proportionality. </w:t>
      </w:r>
    </w:p>
    <w:p w14:paraId="27172ECC" w14:textId="77777777" w:rsidR="002144EC" w:rsidRDefault="002144EC" w:rsidP="002144EC">
      <w:pPr>
        <w:jc w:val="both"/>
        <w:rPr>
          <w:rFonts w:ascii="Calibri" w:hAnsi="Calibri" w:cs="Calibri"/>
          <w:lang w:val="en-GB"/>
        </w:rPr>
      </w:pPr>
      <w:r>
        <w:rPr>
          <w:rFonts w:ascii="Calibri" w:hAnsi="Calibri" w:cs="Calibri"/>
          <w:lang w:val="en-GB"/>
        </w:rPr>
        <w:t>-----</w:t>
      </w:r>
    </w:p>
    <w:p w14:paraId="67CEB482" w14:textId="77777777" w:rsidR="003C6811" w:rsidRPr="003C6811" w:rsidRDefault="002144EC" w:rsidP="003C6811">
      <w:pPr>
        <w:jc w:val="both"/>
        <w:rPr>
          <w:rFonts w:ascii="Calibri" w:hAnsi="Calibri" w:cs="Calibri"/>
          <w:lang w:val="en-GB"/>
        </w:rPr>
      </w:pPr>
      <w:r w:rsidRPr="00232646">
        <w:rPr>
          <w:rFonts w:ascii="Calibri" w:hAnsi="Calibri" w:cs="Calibri"/>
          <w:lang w:val="en-GB"/>
        </w:rPr>
        <w:lastRenderedPageBreak/>
        <w:t>Ab</w:t>
      </w:r>
      <w:r>
        <w:rPr>
          <w:rFonts w:ascii="Calibri" w:hAnsi="Calibri" w:cs="Calibri"/>
          <w:lang w:val="en-GB"/>
        </w:rPr>
        <w:t>out CITPA:</w:t>
      </w:r>
      <w:r w:rsidR="003C6811">
        <w:rPr>
          <w:rFonts w:ascii="Calibri" w:hAnsi="Calibri" w:cs="Calibri"/>
          <w:lang w:val="en-GB"/>
        </w:rPr>
        <w:t xml:space="preserve"> </w:t>
      </w:r>
      <w:r w:rsidR="003C6811" w:rsidRPr="003C6811">
        <w:rPr>
          <w:rFonts w:ascii="Calibri" w:hAnsi="Calibri" w:cs="Calibri"/>
          <w:lang w:val="en-BE"/>
        </w:rPr>
        <w:t xml:space="preserve">CITPA </w:t>
      </w:r>
      <w:r w:rsidR="003C6811" w:rsidRPr="003C6811">
        <w:rPr>
          <w:rFonts w:ascii="Calibri" w:hAnsi="Calibri" w:cs="Calibri"/>
          <w:lang w:val="en-GB"/>
        </w:rPr>
        <w:t xml:space="preserve">is the International Organisation </w:t>
      </w:r>
      <w:r w:rsidR="003C6811" w:rsidRPr="003C6811">
        <w:rPr>
          <w:rFonts w:ascii="Calibri" w:hAnsi="Calibri" w:cs="Calibri"/>
          <w:lang w:val="en-BE"/>
        </w:rPr>
        <w:t>represent</w:t>
      </w:r>
      <w:proofErr w:type="spellStart"/>
      <w:r w:rsidR="003C6811" w:rsidRPr="003C6811">
        <w:rPr>
          <w:rFonts w:ascii="Calibri" w:hAnsi="Calibri" w:cs="Calibri"/>
          <w:lang w:val="en-GB"/>
        </w:rPr>
        <w:t>ing</w:t>
      </w:r>
      <w:proofErr w:type="spellEnd"/>
      <w:r w:rsidR="003C6811" w:rsidRPr="003C6811">
        <w:rPr>
          <w:rFonts w:ascii="Calibri" w:hAnsi="Calibri" w:cs="Calibri"/>
          <w:lang w:val="en-GB"/>
        </w:rPr>
        <w:t xml:space="preserve"> paper and board converting manufacturers</w:t>
      </w:r>
      <w:r w:rsidR="003C6811" w:rsidRPr="003C6811">
        <w:rPr>
          <w:rFonts w:ascii="Calibri" w:hAnsi="Calibri" w:cs="Calibri"/>
          <w:lang w:val="en-BE"/>
        </w:rPr>
        <w:t xml:space="preserve">. </w:t>
      </w:r>
      <w:r w:rsidR="003C6811" w:rsidRPr="003C6811">
        <w:rPr>
          <w:rFonts w:ascii="Calibri" w:hAnsi="Calibri" w:cs="Calibri"/>
          <w:lang w:val="en-GB"/>
        </w:rPr>
        <w:t xml:space="preserve">Our </w:t>
      </w:r>
      <w:r w:rsidR="003C6811" w:rsidRPr="003C6811">
        <w:rPr>
          <w:rFonts w:ascii="Calibri" w:hAnsi="Calibri" w:cs="Calibri"/>
          <w:lang w:val="en-BE"/>
        </w:rPr>
        <w:t>Industry produces Paper and Board products in the EU member states with an annual value of 60 billion €.</w:t>
      </w:r>
    </w:p>
    <w:p w14:paraId="3F6B051A" w14:textId="7FEFD665" w:rsidR="002144EC" w:rsidRPr="00915B08" w:rsidRDefault="002144EC" w:rsidP="002144EC">
      <w:pPr>
        <w:jc w:val="both"/>
        <w:rPr>
          <w:rFonts w:ascii="Calibri" w:hAnsi="Calibri" w:cs="Calibri"/>
          <w:lang w:val="en-GB"/>
        </w:rPr>
      </w:pPr>
    </w:p>
    <w:p w14:paraId="41DBB75E" w14:textId="77777777" w:rsidR="0046105B" w:rsidRPr="002144EC" w:rsidRDefault="0046105B" w:rsidP="00B02C2C">
      <w:pPr>
        <w:rPr>
          <w:lang w:val="en-GB"/>
        </w:rPr>
      </w:pPr>
    </w:p>
    <w:sectPr w:rsidR="0046105B" w:rsidRPr="002144EC" w:rsidSect="002D1B25">
      <w:headerReference w:type="default" r:id="rId9"/>
      <w:footerReference w:type="default" r:id="rId10"/>
      <w:pgSz w:w="11906" w:h="16838" w:code="9"/>
      <w:pgMar w:top="1980" w:right="1701" w:bottom="14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50C8" w14:textId="77777777" w:rsidR="00823F8C" w:rsidRDefault="00823F8C" w:rsidP="00D96CAC">
      <w:pPr>
        <w:spacing w:after="0" w:line="240" w:lineRule="auto"/>
      </w:pPr>
      <w:r>
        <w:separator/>
      </w:r>
    </w:p>
  </w:endnote>
  <w:endnote w:type="continuationSeparator" w:id="0">
    <w:p w14:paraId="4992F26C" w14:textId="77777777" w:rsidR="00823F8C" w:rsidRDefault="00823F8C" w:rsidP="00D9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454"/>
      <w:docPartObj>
        <w:docPartGallery w:val="Page Numbers (Bottom of Page)"/>
        <w:docPartUnique/>
      </w:docPartObj>
    </w:sdtPr>
    <w:sdtEndPr>
      <w:rPr>
        <w:noProof/>
      </w:rPr>
    </w:sdtEndPr>
    <w:sdtContent>
      <w:p w14:paraId="5DE7BE02" w14:textId="426858C6" w:rsidR="00FA2D52" w:rsidRDefault="00FA2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61BD9" w14:textId="77777777" w:rsidR="00FA2D52" w:rsidRDefault="00FA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13D0" w14:textId="77777777" w:rsidR="00823F8C" w:rsidRDefault="00823F8C" w:rsidP="00D96CAC">
      <w:pPr>
        <w:spacing w:after="0" w:line="240" w:lineRule="auto"/>
      </w:pPr>
      <w:r>
        <w:separator/>
      </w:r>
    </w:p>
  </w:footnote>
  <w:footnote w:type="continuationSeparator" w:id="0">
    <w:p w14:paraId="001A67D4" w14:textId="77777777" w:rsidR="00823F8C" w:rsidRDefault="00823F8C" w:rsidP="00D96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6FF7" w14:textId="1F338581" w:rsidR="00F82FE6" w:rsidRDefault="00F82FE6" w:rsidP="00F82FE6">
    <w:pPr>
      <w:pStyle w:val="Header"/>
      <w:tabs>
        <w:tab w:val="clear" w:pos="4513"/>
        <w:tab w:val="center" w:pos="7371"/>
      </w:tabs>
      <w:ind w:left="-426"/>
    </w:pPr>
    <w:r>
      <w:rPr>
        <w:noProof/>
        <w:lang w:val="en-US"/>
      </w:rPr>
      <w:drawing>
        <wp:inline distT="0" distB="0" distL="0" distR="0" wp14:anchorId="2F000A44" wp14:editId="752066F7">
          <wp:extent cx="919163" cy="458220"/>
          <wp:effectExtent l="0" t="0" r="0" b="0"/>
          <wp:docPr id="89770853" name="Picture 897708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088" cy="465162"/>
                  </a:xfrm>
                  <a:prstGeom prst="rect">
                    <a:avLst/>
                  </a:prstGeom>
                </pic:spPr>
              </pic:pic>
            </a:graphicData>
          </a:graphic>
        </wp:inline>
      </w:drawing>
    </w:r>
    <w:r>
      <w:rPr>
        <w:noProof/>
      </w:rPr>
      <w:tab/>
    </w:r>
    <w:r>
      <w:rPr>
        <w:noProof/>
      </w:rP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3BE1"/>
    <w:multiLevelType w:val="hybridMultilevel"/>
    <w:tmpl w:val="B9D841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9B4720"/>
    <w:multiLevelType w:val="hybridMultilevel"/>
    <w:tmpl w:val="45484C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556360B"/>
    <w:multiLevelType w:val="hybridMultilevel"/>
    <w:tmpl w:val="572A76A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1754728">
    <w:abstractNumId w:val="0"/>
  </w:num>
  <w:num w:numId="2" w16cid:durableId="1704750754">
    <w:abstractNumId w:val="2"/>
  </w:num>
  <w:num w:numId="3" w16cid:durableId="123535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95"/>
    <w:rsid w:val="00010CEE"/>
    <w:rsid w:val="000113AE"/>
    <w:rsid w:val="00040EDA"/>
    <w:rsid w:val="0005301D"/>
    <w:rsid w:val="000C7DDC"/>
    <w:rsid w:val="000D58A9"/>
    <w:rsid w:val="000E64B4"/>
    <w:rsid w:val="000F18E8"/>
    <w:rsid w:val="001134DD"/>
    <w:rsid w:val="00152AE5"/>
    <w:rsid w:val="00170A2F"/>
    <w:rsid w:val="001B0055"/>
    <w:rsid w:val="001C0B45"/>
    <w:rsid w:val="002117B9"/>
    <w:rsid w:val="002144EC"/>
    <w:rsid w:val="00232CE0"/>
    <w:rsid w:val="00275F0C"/>
    <w:rsid w:val="00285D2C"/>
    <w:rsid w:val="002D1B25"/>
    <w:rsid w:val="002E6B00"/>
    <w:rsid w:val="00306C66"/>
    <w:rsid w:val="00307BA6"/>
    <w:rsid w:val="003426A3"/>
    <w:rsid w:val="003759E6"/>
    <w:rsid w:val="003950AB"/>
    <w:rsid w:val="003B2695"/>
    <w:rsid w:val="003C3DF3"/>
    <w:rsid w:val="003C6811"/>
    <w:rsid w:val="003D054D"/>
    <w:rsid w:val="0046105B"/>
    <w:rsid w:val="004861CA"/>
    <w:rsid w:val="004B50B8"/>
    <w:rsid w:val="004B7565"/>
    <w:rsid w:val="004C36A3"/>
    <w:rsid w:val="00521C76"/>
    <w:rsid w:val="00576D02"/>
    <w:rsid w:val="005D79FF"/>
    <w:rsid w:val="005E614E"/>
    <w:rsid w:val="005E6899"/>
    <w:rsid w:val="005F1718"/>
    <w:rsid w:val="0060041F"/>
    <w:rsid w:val="006161A5"/>
    <w:rsid w:val="006A2946"/>
    <w:rsid w:val="006A720E"/>
    <w:rsid w:val="006D2A33"/>
    <w:rsid w:val="00794EF0"/>
    <w:rsid w:val="007A2CB5"/>
    <w:rsid w:val="00803DD0"/>
    <w:rsid w:val="0080755A"/>
    <w:rsid w:val="00810D3A"/>
    <w:rsid w:val="008138E7"/>
    <w:rsid w:val="00823F8C"/>
    <w:rsid w:val="00872DB3"/>
    <w:rsid w:val="0088057E"/>
    <w:rsid w:val="008A6CD3"/>
    <w:rsid w:val="0091289C"/>
    <w:rsid w:val="00927860"/>
    <w:rsid w:val="00934DBC"/>
    <w:rsid w:val="00957C2B"/>
    <w:rsid w:val="009A5AFA"/>
    <w:rsid w:val="009B25C1"/>
    <w:rsid w:val="009B68D5"/>
    <w:rsid w:val="00A604C2"/>
    <w:rsid w:val="00A8774D"/>
    <w:rsid w:val="00A920FD"/>
    <w:rsid w:val="00AA6A03"/>
    <w:rsid w:val="00AB341E"/>
    <w:rsid w:val="00AE24BA"/>
    <w:rsid w:val="00B02C2C"/>
    <w:rsid w:val="00B33BD7"/>
    <w:rsid w:val="00B4744C"/>
    <w:rsid w:val="00B92697"/>
    <w:rsid w:val="00BC36E2"/>
    <w:rsid w:val="00BD7855"/>
    <w:rsid w:val="00BF68B0"/>
    <w:rsid w:val="00BF717F"/>
    <w:rsid w:val="00C5594E"/>
    <w:rsid w:val="00CB2351"/>
    <w:rsid w:val="00CC32C9"/>
    <w:rsid w:val="00CC7C77"/>
    <w:rsid w:val="00CD2BE1"/>
    <w:rsid w:val="00CF60C1"/>
    <w:rsid w:val="00D54B67"/>
    <w:rsid w:val="00D62AAE"/>
    <w:rsid w:val="00D96CAC"/>
    <w:rsid w:val="00E17EA1"/>
    <w:rsid w:val="00E27076"/>
    <w:rsid w:val="00E948C4"/>
    <w:rsid w:val="00EC15A9"/>
    <w:rsid w:val="00ED358F"/>
    <w:rsid w:val="00EF3877"/>
    <w:rsid w:val="00F13C50"/>
    <w:rsid w:val="00F32F04"/>
    <w:rsid w:val="00F82FE6"/>
    <w:rsid w:val="00FA2D52"/>
    <w:rsid w:val="00FB5AF8"/>
    <w:rsid w:val="00FD5268"/>
    <w:rsid w:val="00FF5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8A61"/>
  <w15:chartTrackingRefBased/>
  <w15:docId w15:val="{C857376F-50F8-4FFB-9BD9-D00A3C4B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95"/>
    <w:rPr>
      <w:rFonts w:asciiTheme="minorHAnsi" w:hAnsiTheme="minorHAnsi" w:cstheme="minorBidi"/>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695"/>
    <w:pPr>
      <w:autoSpaceDE w:val="0"/>
      <w:autoSpaceDN w:val="0"/>
      <w:adjustRightInd w:val="0"/>
      <w:spacing w:after="0" w:line="240" w:lineRule="auto"/>
    </w:pPr>
    <w:rPr>
      <w:color w:val="000000"/>
      <w:sz w:val="24"/>
      <w:szCs w:val="24"/>
      <w:lang w:val="de-DE"/>
    </w:rPr>
  </w:style>
  <w:style w:type="paragraph" w:styleId="ListParagraph">
    <w:name w:val="List Paragraph"/>
    <w:aliases w:val="Bullet List,FooterText,numbered,Paragraphe de liste1,Bulletr List Paragraph,列出段落,列出段落1,List Paragraph2,List Paragraph21,Párrafo de lista1,Parágrafo da Lista1,リスト段落1,Listeafsnit1,List Paragraph11,Bullet list,Plan,פיסקת רשי,Foot"/>
    <w:basedOn w:val="Normal"/>
    <w:link w:val="ListParagraphChar"/>
    <w:uiPriority w:val="34"/>
    <w:qFormat/>
    <w:rsid w:val="003B2695"/>
    <w:pPr>
      <w:ind w:left="720"/>
      <w:contextualSpacing/>
    </w:pPr>
  </w:style>
  <w:style w:type="paragraph" w:styleId="BalloonText">
    <w:name w:val="Balloon Text"/>
    <w:basedOn w:val="Normal"/>
    <w:link w:val="BalloonTextChar"/>
    <w:uiPriority w:val="99"/>
    <w:semiHidden/>
    <w:unhideWhenUsed/>
    <w:rsid w:val="00880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57E"/>
    <w:rPr>
      <w:rFonts w:ascii="Segoe UI" w:hAnsi="Segoe UI" w:cs="Segoe UI"/>
      <w:sz w:val="18"/>
      <w:szCs w:val="18"/>
      <w:lang w:val="de-DE"/>
    </w:rPr>
  </w:style>
  <w:style w:type="paragraph" w:styleId="Header">
    <w:name w:val="header"/>
    <w:basedOn w:val="Normal"/>
    <w:link w:val="HeaderChar"/>
    <w:uiPriority w:val="99"/>
    <w:unhideWhenUsed/>
    <w:rsid w:val="00D96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AC"/>
    <w:rPr>
      <w:rFonts w:asciiTheme="minorHAnsi" w:hAnsiTheme="minorHAnsi" w:cstheme="minorBidi"/>
      <w:lang w:val="de-DE"/>
    </w:rPr>
  </w:style>
  <w:style w:type="paragraph" w:styleId="Footer">
    <w:name w:val="footer"/>
    <w:basedOn w:val="Normal"/>
    <w:link w:val="FooterChar"/>
    <w:uiPriority w:val="99"/>
    <w:unhideWhenUsed/>
    <w:rsid w:val="00D96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AC"/>
    <w:rPr>
      <w:rFonts w:asciiTheme="minorHAnsi" w:hAnsiTheme="minorHAnsi" w:cstheme="minorBidi"/>
      <w:lang w:val="de-DE"/>
    </w:rPr>
  </w:style>
  <w:style w:type="character" w:styleId="Hyperlink">
    <w:name w:val="Hyperlink"/>
    <w:basedOn w:val="DefaultParagraphFont"/>
    <w:uiPriority w:val="99"/>
    <w:unhideWhenUsed/>
    <w:rsid w:val="00CC7C77"/>
    <w:rPr>
      <w:color w:val="0000FF" w:themeColor="hyperlink"/>
      <w:u w:val="single"/>
    </w:rPr>
  </w:style>
  <w:style w:type="character" w:customStyle="1" w:styleId="UnresolvedMention1">
    <w:name w:val="Unresolved Mention1"/>
    <w:basedOn w:val="DefaultParagraphFont"/>
    <w:uiPriority w:val="99"/>
    <w:semiHidden/>
    <w:unhideWhenUsed/>
    <w:rsid w:val="00CC7C77"/>
    <w:rPr>
      <w:color w:val="605E5C"/>
      <w:shd w:val="clear" w:color="auto" w:fill="E1DFDD"/>
    </w:rPr>
  </w:style>
  <w:style w:type="paragraph" w:styleId="EndnoteText">
    <w:name w:val="endnote text"/>
    <w:basedOn w:val="Normal"/>
    <w:link w:val="EndnoteTextChar"/>
    <w:uiPriority w:val="99"/>
    <w:semiHidden/>
    <w:unhideWhenUsed/>
    <w:rsid w:val="00211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7B9"/>
    <w:rPr>
      <w:rFonts w:asciiTheme="minorHAnsi" w:hAnsiTheme="minorHAnsi" w:cstheme="minorBidi"/>
      <w:sz w:val="20"/>
      <w:szCs w:val="20"/>
      <w:lang w:val="de-DE"/>
    </w:rPr>
  </w:style>
  <w:style w:type="character" w:styleId="EndnoteReference">
    <w:name w:val="endnote reference"/>
    <w:basedOn w:val="DefaultParagraphFont"/>
    <w:uiPriority w:val="99"/>
    <w:semiHidden/>
    <w:unhideWhenUsed/>
    <w:rsid w:val="002117B9"/>
    <w:rPr>
      <w:vertAlign w:val="superscript"/>
    </w:rPr>
  </w:style>
  <w:style w:type="character" w:styleId="CommentReference">
    <w:name w:val="annotation reference"/>
    <w:basedOn w:val="DefaultParagraphFont"/>
    <w:uiPriority w:val="99"/>
    <w:semiHidden/>
    <w:unhideWhenUsed/>
    <w:rsid w:val="00232CE0"/>
    <w:rPr>
      <w:sz w:val="16"/>
      <w:szCs w:val="16"/>
    </w:rPr>
  </w:style>
  <w:style w:type="paragraph" w:styleId="CommentText">
    <w:name w:val="annotation text"/>
    <w:basedOn w:val="Normal"/>
    <w:link w:val="CommentTextChar"/>
    <w:uiPriority w:val="99"/>
    <w:unhideWhenUsed/>
    <w:rsid w:val="00232CE0"/>
    <w:pPr>
      <w:spacing w:line="240" w:lineRule="auto"/>
    </w:pPr>
    <w:rPr>
      <w:sz w:val="20"/>
      <w:szCs w:val="20"/>
    </w:rPr>
  </w:style>
  <w:style w:type="character" w:customStyle="1" w:styleId="CommentTextChar">
    <w:name w:val="Comment Text Char"/>
    <w:basedOn w:val="DefaultParagraphFont"/>
    <w:link w:val="CommentText"/>
    <w:uiPriority w:val="99"/>
    <w:rsid w:val="00232CE0"/>
    <w:rPr>
      <w:rFonts w:asciiTheme="minorHAnsi" w:hAnsiTheme="minorHAnsi" w:cstheme="minorBidi"/>
      <w:sz w:val="20"/>
      <w:szCs w:val="20"/>
      <w:lang w:val="de-DE"/>
    </w:rPr>
  </w:style>
  <w:style w:type="paragraph" w:styleId="CommentSubject">
    <w:name w:val="annotation subject"/>
    <w:basedOn w:val="CommentText"/>
    <w:next w:val="CommentText"/>
    <w:link w:val="CommentSubjectChar"/>
    <w:uiPriority w:val="99"/>
    <w:semiHidden/>
    <w:unhideWhenUsed/>
    <w:rsid w:val="00232CE0"/>
    <w:rPr>
      <w:b/>
      <w:bCs/>
    </w:rPr>
  </w:style>
  <w:style w:type="character" w:customStyle="1" w:styleId="CommentSubjectChar">
    <w:name w:val="Comment Subject Char"/>
    <w:basedOn w:val="CommentTextChar"/>
    <w:link w:val="CommentSubject"/>
    <w:uiPriority w:val="99"/>
    <w:semiHidden/>
    <w:rsid w:val="00232CE0"/>
    <w:rPr>
      <w:rFonts w:asciiTheme="minorHAnsi" w:hAnsiTheme="minorHAnsi" w:cstheme="minorBidi"/>
      <w:b/>
      <w:bCs/>
      <w:sz w:val="20"/>
      <w:szCs w:val="20"/>
      <w:lang w:val="de-DE"/>
    </w:rPr>
  </w:style>
  <w:style w:type="character" w:styleId="FollowedHyperlink">
    <w:name w:val="FollowedHyperlink"/>
    <w:basedOn w:val="DefaultParagraphFont"/>
    <w:uiPriority w:val="99"/>
    <w:semiHidden/>
    <w:unhideWhenUsed/>
    <w:rsid w:val="006A2946"/>
    <w:rPr>
      <w:color w:val="800080" w:themeColor="followedHyperlink"/>
      <w:u w:val="single"/>
    </w:rPr>
  </w:style>
  <w:style w:type="table" w:styleId="TableGrid">
    <w:name w:val="Table Grid"/>
    <w:basedOn w:val="TableNormal"/>
    <w:uiPriority w:val="39"/>
    <w:rsid w:val="006D2A33"/>
    <w:pPr>
      <w:spacing w:after="0" w:line="240" w:lineRule="auto"/>
    </w:pPr>
    <w:rPr>
      <w:rFonts w:asciiTheme="minorHAnsi" w:hAnsiTheme="minorHAnsi" w:cstheme="minorBidi"/>
    </w:rPr>
    <w:tblPr>
      <w:tblBorders>
        <w:top w:val="single" w:sz="12" w:space="0" w:color="008EAB"/>
        <w:left w:val="single" w:sz="12" w:space="0" w:color="008EAB"/>
        <w:bottom w:val="single" w:sz="12" w:space="0" w:color="008EAB"/>
        <w:right w:val="single" w:sz="12" w:space="0" w:color="008EAB"/>
        <w:insideH w:val="single" w:sz="12" w:space="0" w:color="008EAB"/>
        <w:insideV w:val="single" w:sz="12" w:space="0" w:color="008EAB"/>
      </w:tblBorders>
    </w:tblPr>
  </w:style>
  <w:style w:type="character" w:customStyle="1" w:styleId="ListParagraphChar">
    <w:name w:val="List Paragraph Char"/>
    <w:aliases w:val="Bullet List Char,FooterText Char,numbered Char,Paragraphe de liste1 Char,Bulletr List Paragraph Char,列出段落 Char,列出段落1 Char,List Paragraph2 Char,List Paragraph21 Char,Párrafo de lista1 Char,Parágrafo da Lista1 Char,リスト段落1 Char"/>
    <w:link w:val="ListParagraph"/>
    <w:uiPriority w:val="34"/>
    <w:locked/>
    <w:rsid w:val="006D2A33"/>
    <w:rPr>
      <w:rFonts w:asciiTheme="minorHAnsi" w:hAnsiTheme="minorHAnsi" w:cstheme="minorBidi"/>
      <w:lang w:val="de-DE"/>
    </w:rPr>
  </w:style>
  <w:style w:type="paragraph" w:styleId="FootnoteText">
    <w:name w:val="footnote text"/>
    <w:basedOn w:val="Normal"/>
    <w:link w:val="FootnoteTextChar"/>
    <w:uiPriority w:val="99"/>
    <w:semiHidden/>
    <w:unhideWhenUsed/>
    <w:rsid w:val="00D54B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B67"/>
    <w:rPr>
      <w:rFonts w:asciiTheme="minorHAnsi" w:hAnsiTheme="minorHAnsi" w:cstheme="minorBidi"/>
      <w:sz w:val="20"/>
      <w:szCs w:val="20"/>
      <w:lang w:val="de-DE"/>
    </w:rPr>
  </w:style>
  <w:style w:type="character" w:styleId="FootnoteReference">
    <w:name w:val="footnote reference"/>
    <w:basedOn w:val="DefaultParagraphFont"/>
    <w:uiPriority w:val="99"/>
    <w:semiHidden/>
    <w:unhideWhenUsed/>
    <w:rsid w:val="00D54B67"/>
    <w:rPr>
      <w:vertAlign w:val="superscript"/>
    </w:rPr>
  </w:style>
  <w:style w:type="paragraph" w:styleId="NormalWeb">
    <w:name w:val="Normal (Web)"/>
    <w:basedOn w:val="Normal"/>
    <w:uiPriority w:val="99"/>
    <w:semiHidden/>
    <w:unhideWhenUsed/>
    <w:rsid w:val="002144EC"/>
    <w:pPr>
      <w:spacing w:before="100" w:beforeAutospacing="1" w:after="100" w:afterAutospacing="1" w:line="240" w:lineRule="auto"/>
    </w:pPr>
    <w:rPr>
      <w:rFonts w:ascii="Times New Roman" w:eastAsia="Times New Roman" w:hAnsi="Times New Roman" w:cs="Times New Roman"/>
      <w:sz w:val="24"/>
      <w:szCs w:val="24"/>
      <w:lang w:val="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f78c5cd-dc6f-493e-b366-ba4c71f6d664"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DC91-8A42-4A52-A118-58E5DE39A3C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EF3F915-623E-4300-B454-93D6A3EB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2453</Characters>
  <Application>Microsoft Office Word</Application>
  <DocSecurity>0</DocSecurity>
  <Lines>53</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CEPI aisbl</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 - Cepi</dc:creator>
  <cp:keywords/>
  <dc:description/>
  <cp:lastModifiedBy>Johanna Kloeck</cp:lastModifiedBy>
  <cp:revision>4</cp:revision>
  <cp:lastPrinted>2023-01-10T15:07:00Z</cp:lastPrinted>
  <dcterms:created xsi:type="dcterms:W3CDTF">2026-01-07T14:46:00Z</dcterms:created>
  <dcterms:modified xsi:type="dcterms:W3CDTF">2026-01-07T14:50:00Z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08ed74c8-1121-40c2-aa0a-001e7e115808</vt:lpwstr>
  </property>
  <property fmtid="{D5CDD505-2E9C-101B-9397-08002B2CF9AE}" pid="3" name="bjSaver">
    <vt:lpwstr>lIRuK1TOC62lJK5jU8juFqRjCkuSAK3v</vt:lpwstr>
  </property>
  <property fmtid="{D5CDD505-2E9C-101B-9397-08002B2CF9AE}" pid="4" name="bjClsUserRVM">
    <vt:lpwstr>[]</vt:lpwstr>
  </property>
</Properties>
</file>